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97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E4697A">
        <w:rPr>
          <w:rFonts w:ascii="Times New Roman" w:hAnsi="Times New Roman"/>
          <w:sz w:val="24"/>
          <w:szCs w:val="24"/>
        </w:rPr>
        <w:t>Постановле</w:t>
      </w:r>
      <w:r w:rsidR="00060ED0" w:rsidRPr="00E4697A">
        <w:rPr>
          <w:rFonts w:ascii="Times New Roman" w:hAnsi="Times New Roman"/>
          <w:sz w:val="24"/>
          <w:szCs w:val="24"/>
        </w:rPr>
        <w:t>ния</w:t>
      </w:r>
      <w:r w:rsidR="00E714A8" w:rsidRPr="00E469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63070B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E469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E4697A">
        <w:rPr>
          <w:rFonts w:ascii="Times New Roman" w:hAnsi="Times New Roman"/>
          <w:sz w:val="24"/>
          <w:szCs w:val="24"/>
        </w:rPr>
        <w:t xml:space="preserve">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E714A8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E714A8" w:rsidRPr="00E4697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E4697A">
        <w:rPr>
          <w:rFonts w:ascii="Times New Roman" w:hAnsi="Times New Roman"/>
          <w:sz w:val="24"/>
          <w:szCs w:val="24"/>
        </w:rPr>
        <w:t>30.10.2013</w:t>
      </w:r>
      <w:r w:rsidR="00E714A8"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6C05BC" w:rsidRPr="00E4697A">
        <w:rPr>
          <w:rFonts w:ascii="Times New Roman" w:hAnsi="Times New Roman"/>
          <w:sz w:val="24"/>
          <w:szCs w:val="24"/>
        </w:rPr>
        <w:t xml:space="preserve"> </w:t>
      </w:r>
      <w:r w:rsidR="0063070B" w:rsidRPr="00E4697A">
        <w:rPr>
          <w:rFonts w:ascii="Times New Roman" w:hAnsi="Times New Roman"/>
          <w:sz w:val="24"/>
          <w:szCs w:val="24"/>
        </w:rPr>
        <w:t>«О</w:t>
      </w:r>
      <w:r w:rsidR="00E714A8" w:rsidRPr="00E4697A">
        <w:rPr>
          <w:rFonts w:ascii="Times New Roman" w:hAnsi="Times New Roman"/>
          <w:sz w:val="24"/>
          <w:szCs w:val="24"/>
        </w:rPr>
        <w:t>б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E714A8" w:rsidRPr="00E469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E4697A">
        <w:rPr>
          <w:rFonts w:ascii="Times New Roman" w:hAnsi="Times New Roman"/>
          <w:sz w:val="24"/>
          <w:szCs w:val="24"/>
        </w:rPr>
        <w:t xml:space="preserve"> 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E4697A">
        <w:rPr>
          <w:rFonts w:ascii="Times New Roman" w:hAnsi="Times New Roman"/>
          <w:sz w:val="24"/>
          <w:szCs w:val="24"/>
        </w:rPr>
        <w:t xml:space="preserve">» </w:t>
      </w:r>
    </w:p>
    <w:p w:rsidR="0031585D" w:rsidRPr="00E4697A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E4697A" w:rsidRDefault="007E1B6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A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7B7AFE">
        <w:rPr>
          <w:rFonts w:ascii="Times New Roman" w:hAnsi="Times New Roman"/>
          <w:sz w:val="24"/>
          <w:szCs w:val="24"/>
        </w:rPr>
        <w:t>9</w:t>
      </w:r>
      <w:r w:rsidR="00084C94" w:rsidRPr="00E4697A">
        <w:rPr>
          <w:rFonts w:ascii="Times New Roman" w:hAnsi="Times New Roman"/>
          <w:sz w:val="24"/>
          <w:szCs w:val="24"/>
        </w:rPr>
        <w:t xml:space="preserve"> год </w:t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ab/>
      </w:r>
      <w:r w:rsidR="0032201B" w:rsidRPr="00E4697A">
        <w:rPr>
          <w:rFonts w:ascii="Times New Roman" w:hAnsi="Times New Roman"/>
          <w:sz w:val="24"/>
          <w:szCs w:val="24"/>
        </w:rPr>
        <w:t xml:space="preserve">      </w:t>
      </w:r>
      <w:r w:rsidR="001C4FC7" w:rsidRPr="00E4697A">
        <w:rPr>
          <w:rFonts w:ascii="Times New Roman" w:hAnsi="Times New Roman"/>
          <w:sz w:val="24"/>
          <w:szCs w:val="24"/>
        </w:rPr>
        <w:t xml:space="preserve">    </w:t>
      </w:r>
      <w:r w:rsidR="0032201B" w:rsidRPr="00E4697A">
        <w:rPr>
          <w:rFonts w:ascii="Times New Roman" w:hAnsi="Times New Roman"/>
          <w:sz w:val="24"/>
          <w:szCs w:val="24"/>
        </w:rPr>
        <w:t xml:space="preserve">  </w:t>
      </w:r>
      <w:r w:rsidR="00770199">
        <w:rPr>
          <w:rFonts w:ascii="Times New Roman" w:hAnsi="Times New Roman"/>
          <w:sz w:val="24"/>
          <w:szCs w:val="24"/>
        </w:rPr>
        <w:tab/>
      </w:r>
      <w:r w:rsidR="00770199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 xml:space="preserve">№ </w:t>
      </w:r>
      <w:r w:rsidR="00B80962">
        <w:rPr>
          <w:rFonts w:ascii="Times New Roman" w:hAnsi="Times New Roman"/>
          <w:sz w:val="24"/>
          <w:szCs w:val="24"/>
        </w:rPr>
        <w:t>1</w:t>
      </w:r>
      <w:r w:rsidR="007B7AFE">
        <w:rPr>
          <w:rFonts w:ascii="Times New Roman" w:hAnsi="Times New Roman"/>
          <w:sz w:val="24"/>
          <w:szCs w:val="24"/>
        </w:rPr>
        <w:t>37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B68" w:rsidRPr="006F47C4" w:rsidRDefault="005628EA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9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E4697A">
        <w:rPr>
          <w:rFonts w:ascii="Times New Roman" w:hAnsi="Times New Roman"/>
          <w:sz w:val="24"/>
          <w:szCs w:val="24"/>
        </w:rPr>
        <w:t>5</w:t>
      </w:r>
      <w:r w:rsidRPr="00E469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E4697A">
        <w:rPr>
          <w:rFonts w:ascii="Times New Roman" w:hAnsi="Times New Roman"/>
          <w:sz w:val="24"/>
          <w:szCs w:val="24"/>
        </w:rPr>
        <w:t xml:space="preserve"> </w:t>
      </w:r>
      <w:r w:rsidR="007E1B68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7E1B68" w:rsidRPr="006F47C4">
        <w:rPr>
          <w:rFonts w:ascii="Times New Roman" w:hAnsi="Times New Roman"/>
          <w:sz w:val="24"/>
          <w:szCs w:val="24"/>
        </w:rPr>
        <w:t>по</w:t>
      </w:r>
      <w:proofErr w:type="gramEnd"/>
      <w:r w:rsidR="007E1B68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E1B68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7E1B68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E4697A" w:rsidRDefault="00013FC9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E4697A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5628EA" w:rsidRPr="00E469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E469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070F5A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E4697A">
        <w:rPr>
          <w:rFonts w:ascii="Times New Roman" w:hAnsi="Times New Roman"/>
          <w:sz w:val="24"/>
          <w:szCs w:val="24"/>
        </w:rPr>
        <w:t xml:space="preserve">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AB085F" w:rsidRPr="00E4697A">
        <w:rPr>
          <w:rFonts w:ascii="Times New Roman" w:hAnsi="Times New Roman"/>
          <w:sz w:val="24"/>
          <w:szCs w:val="24"/>
        </w:rPr>
        <w:t xml:space="preserve"> </w:t>
      </w:r>
      <w:r w:rsidR="00070F5A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E4697A">
        <w:rPr>
          <w:rFonts w:ascii="Times New Roman" w:hAnsi="Times New Roman"/>
          <w:sz w:val="24"/>
          <w:szCs w:val="24"/>
        </w:rPr>
        <w:t>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E4697A">
        <w:rPr>
          <w:rFonts w:ascii="Times New Roman" w:hAnsi="Times New Roman"/>
          <w:sz w:val="24"/>
          <w:szCs w:val="24"/>
        </w:rPr>
        <w:t xml:space="preserve">» </w:t>
      </w:r>
      <w:r w:rsidR="005628EA" w:rsidRPr="00E469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 </w:t>
      </w:r>
      <w:r w:rsidR="007E1B68">
        <w:rPr>
          <w:rFonts w:ascii="Times New Roman" w:hAnsi="Times New Roman"/>
          <w:sz w:val="24"/>
          <w:szCs w:val="24"/>
        </w:rPr>
        <w:t>2</w:t>
      </w:r>
      <w:r w:rsidR="00652D40">
        <w:rPr>
          <w:rFonts w:ascii="Times New Roman" w:hAnsi="Times New Roman"/>
          <w:sz w:val="24"/>
          <w:szCs w:val="24"/>
        </w:rPr>
        <w:t>2</w:t>
      </w:r>
      <w:r w:rsidR="007E1B6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7B7AFE">
        <w:rPr>
          <w:rFonts w:ascii="Times New Roman" w:hAnsi="Times New Roman"/>
          <w:sz w:val="24"/>
          <w:szCs w:val="24"/>
        </w:rPr>
        <w:t>9</w:t>
      </w:r>
      <w:r w:rsidR="005628EA" w:rsidRPr="00E4697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E4697A">
        <w:rPr>
          <w:rFonts w:ascii="Times New Roman" w:hAnsi="Times New Roman"/>
          <w:sz w:val="24"/>
          <w:szCs w:val="24"/>
        </w:rPr>
        <w:t>Постановления</w:t>
      </w:r>
      <w:r w:rsidR="005628EA" w:rsidRPr="00E469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E4697A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E4697A">
        <w:rPr>
          <w:rFonts w:ascii="Times New Roman" w:hAnsi="Times New Roman"/>
          <w:sz w:val="24"/>
          <w:szCs w:val="24"/>
        </w:rPr>
        <w:t>я</w:t>
      </w:r>
      <w:r w:rsidR="00070F5A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E469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CB5AFC" w:rsidRPr="00E469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 xml:space="preserve"> от </w:t>
      </w:r>
      <w:r w:rsidR="00197575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="00197575"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="00197575" w:rsidRPr="00E4697A">
        <w:rPr>
          <w:rFonts w:ascii="Times New Roman" w:hAnsi="Times New Roman"/>
          <w:sz w:val="24"/>
          <w:szCs w:val="24"/>
        </w:rPr>
        <w:t>.201</w:t>
      </w:r>
      <w:r w:rsidR="00F66A3D" w:rsidRPr="00E4697A">
        <w:rPr>
          <w:rFonts w:ascii="Times New Roman" w:hAnsi="Times New Roman"/>
          <w:sz w:val="24"/>
          <w:szCs w:val="24"/>
        </w:rPr>
        <w:t>3</w:t>
      </w:r>
      <w:r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155-п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652D40">
        <w:rPr>
          <w:rFonts w:ascii="Times New Roman" w:hAnsi="Times New Roman"/>
          <w:sz w:val="24"/>
          <w:szCs w:val="24"/>
        </w:rPr>
        <w:t xml:space="preserve"> (в ред. от 15.08.2017 № 83-п)</w:t>
      </w:r>
      <w:r w:rsidRPr="00E4697A">
        <w:rPr>
          <w:rFonts w:ascii="Times New Roman" w:hAnsi="Times New Roman"/>
          <w:sz w:val="24"/>
          <w:szCs w:val="24"/>
        </w:rPr>
        <w:t>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от </w:t>
      </w:r>
      <w:r w:rsidR="004A3800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.2013 № </w:t>
      </w:r>
      <w:r w:rsidR="00BB7683" w:rsidRPr="00E4697A">
        <w:rPr>
          <w:rFonts w:ascii="Times New Roman" w:hAnsi="Times New Roman"/>
          <w:sz w:val="24"/>
          <w:szCs w:val="24"/>
        </w:rPr>
        <w:t>70-р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>».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E469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Соисполнител</w:t>
      </w:r>
      <w:r w:rsidR="0049204D" w:rsidRPr="00E4697A">
        <w:rPr>
          <w:rFonts w:ascii="Times New Roman" w:hAnsi="Times New Roman"/>
          <w:sz w:val="24"/>
          <w:szCs w:val="24"/>
        </w:rPr>
        <w:t>и</w:t>
      </w:r>
      <w:r w:rsidRPr="00E469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E4697A">
        <w:rPr>
          <w:rFonts w:ascii="Times New Roman" w:hAnsi="Times New Roman"/>
          <w:sz w:val="24"/>
          <w:szCs w:val="24"/>
        </w:rPr>
        <w:t xml:space="preserve"> отсутствуют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E4697A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4A3800" w:rsidRPr="00E4697A">
        <w:rPr>
          <w:rFonts w:ascii="Times New Roman" w:hAnsi="Times New Roman"/>
          <w:sz w:val="24"/>
          <w:szCs w:val="24"/>
        </w:rPr>
        <w:t>-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F66A3D" w:rsidRPr="00E4697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</w:t>
      </w:r>
      <w:r w:rsidR="004A3800" w:rsidRPr="00E4697A">
        <w:rPr>
          <w:rFonts w:ascii="Times New Roman" w:hAnsi="Times New Roman"/>
          <w:i/>
          <w:sz w:val="24"/>
          <w:szCs w:val="24"/>
        </w:rPr>
        <w:t>и</w:t>
      </w:r>
      <w:r w:rsidRPr="00E4697A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E4697A">
        <w:rPr>
          <w:rFonts w:ascii="Times New Roman" w:hAnsi="Times New Roman"/>
          <w:sz w:val="24"/>
          <w:szCs w:val="24"/>
        </w:rPr>
        <w:t>: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E1B68">
        <w:rPr>
          <w:rFonts w:ascii="Times New Roman" w:hAnsi="Times New Roman"/>
          <w:sz w:val="24"/>
          <w:szCs w:val="24"/>
        </w:rPr>
        <w:t>2</w:t>
      </w:r>
      <w:r w:rsidR="007B7AFE">
        <w:rPr>
          <w:rFonts w:ascii="Times New Roman" w:hAnsi="Times New Roman"/>
          <w:sz w:val="24"/>
          <w:szCs w:val="24"/>
        </w:rPr>
        <w:t>5</w:t>
      </w:r>
      <w:r w:rsidR="007E1B68">
        <w:rPr>
          <w:rFonts w:ascii="Times New Roman" w:hAnsi="Times New Roman"/>
          <w:sz w:val="24"/>
          <w:szCs w:val="24"/>
        </w:rPr>
        <w:t xml:space="preserve"> ноября</w:t>
      </w:r>
      <w:r w:rsidRPr="00E4697A">
        <w:rPr>
          <w:rFonts w:ascii="Times New Roman" w:hAnsi="Times New Roman"/>
          <w:sz w:val="24"/>
          <w:szCs w:val="24"/>
        </w:rPr>
        <w:t xml:space="preserve"> 201</w:t>
      </w:r>
      <w:r w:rsidR="007B7AFE">
        <w:rPr>
          <w:rFonts w:ascii="Times New Roman" w:hAnsi="Times New Roman"/>
          <w:sz w:val="24"/>
          <w:szCs w:val="24"/>
        </w:rPr>
        <w:t>9</w:t>
      </w:r>
      <w:r w:rsidRPr="00E469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E4697A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E469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E4697A">
        <w:rPr>
          <w:rFonts w:ascii="Times New Roman" w:hAnsi="Times New Roman"/>
          <w:sz w:val="24"/>
          <w:szCs w:val="24"/>
        </w:rPr>
        <w:t xml:space="preserve">от 30.10.2013 № </w:t>
      </w:r>
      <w:r w:rsidR="00F366A1">
        <w:rPr>
          <w:rFonts w:ascii="Times New Roman" w:hAnsi="Times New Roman"/>
          <w:sz w:val="24"/>
          <w:szCs w:val="24"/>
        </w:rPr>
        <w:t>199-п</w:t>
      </w:r>
      <w:r w:rsidR="00012EB6" w:rsidRPr="00E469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E4697A">
        <w:rPr>
          <w:rFonts w:ascii="Times New Roman" w:hAnsi="Times New Roman"/>
          <w:sz w:val="24"/>
          <w:szCs w:val="24"/>
        </w:rPr>
        <w:t>;</w:t>
      </w:r>
    </w:p>
    <w:p w:rsidR="0000112E" w:rsidRPr="00E469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E469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E4697A">
        <w:rPr>
          <w:rFonts w:ascii="Times New Roman" w:hAnsi="Times New Roman"/>
          <w:sz w:val="24"/>
          <w:szCs w:val="24"/>
        </w:rPr>
        <w:t>«</w:t>
      </w:r>
      <w:r w:rsidR="00012EB6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E4697A">
        <w:rPr>
          <w:rFonts w:ascii="Times New Roman" w:hAnsi="Times New Roman"/>
          <w:sz w:val="24"/>
          <w:szCs w:val="24"/>
        </w:rPr>
        <w:t>»</w:t>
      </w:r>
      <w:r w:rsidR="00012EB6" w:rsidRPr="00E4697A">
        <w:rPr>
          <w:rFonts w:ascii="Times New Roman" w:hAnsi="Times New Roman"/>
          <w:sz w:val="24"/>
          <w:szCs w:val="24"/>
        </w:rPr>
        <w:t>.</w:t>
      </w:r>
    </w:p>
    <w:p w:rsidR="00BB7683" w:rsidRPr="00E4697A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Жилищно-коммунальный комплекс Родниковского сельсовета  включает в себя: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- 3</w:t>
      </w:r>
      <w:r w:rsidR="007B7AF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8096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7B7A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00</w:t>
      </w:r>
      <w:r w:rsidR="00B809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gramStart"/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7B7AFE">
        <w:rPr>
          <w:rFonts w:ascii="Times New Roman" w:eastAsia="Calibri" w:hAnsi="Times New Roman"/>
          <w:sz w:val="24"/>
          <w:szCs w:val="24"/>
          <w:lang w:eastAsia="en-US"/>
        </w:rPr>
        <w:t>13,50 км сетей водоснабжения.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E4697A">
        <w:rPr>
          <w:rFonts w:ascii="Times New Roman" w:eastAsia="Calibri" w:hAnsi="Times New Roman"/>
          <w:sz w:val="24"/>
          <w:szCs w:val="24"/>
        </w:rPr>
        <w:t>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 w:rsidR="007B7AFE">
        <w:rPr>
          <w:rFonts w:ascii="Times New Roman" w:eastAsia="Calibri" w:hAnsi="Times New Roman"/>
          <w:sz w:val="24"/>
          <w:szCs w:val="24"/>
        </w:rPr>
        <w:t>50-60</w:t>
      </w:r>
      <w:r w:rsidR="00B80962">
        <w:rPr>
          <w:rFonts w:ascii="Times New Roman" w:eastAsia="Calibri" w:hAnsi="Times New Roman"/>
          <w:sz w:val="24"/>
          <w:szCs w:val="24"/>
        </w:rPr>
        <w:t>%</w:t>
      </w:r>
      <w:r w:rsidRPr="00E4697A">
        <w:rPr>
          <w:rFonts w:ascii="Times New Roman" w:eastAsia="Calibri" w:hAnsi="Times New Roman"/>
          <w:sz w:val="24"/>
          <w:szCs w:val="24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высокие потери энергоресурсов на всех стадиях от производства до </w:t>
      </w:r>
      <w:r w:rsidR="00B80962">
        <w:rPr>
          <w:rFonts w:ascii="Times New Roman" w:eastAsia="Calibri" w:hAnsi="Times New Roman"/>
          <w:sz w:val="24"/>
          <w:szCs w:val="24"/>
        </w:rPr>
        <w:t>потребления, составляющие до 22%</w:t>
      </w:r>
      <w:r w:rsidRPr="00E4697A">
        <w:rPr>
          <w:rFonts w:ascii="Times New Roman" w:eastAsia="Calibri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7B7AFE" w:rsidRDefault="00BB7683" w:rsidP="007B7A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</w:rPr>
        <w:t>Техническое состояние  коммунальной инфраструктуры на территории поселения характеризуется уровнем износа, превышающим 30</w:t>
      </w:r>
      <w:r w:rsidR="00B80962">
        <w:rPr>
          <w:rFonts w:ascii="Times New Roman" w:eastAsia="Calibri" w:hAnsi="Times New Roman"/>
          <w:sz w:val="24"/>
          <w:szCs w:val="24"/>
        </w:rPr>
        <w:t>%</w:t>
      </w:r>
      <w:r w:rsidRPr="00E4697A">
        <w:rPr>
          <w:rFonts w:ascii="Times New Roman" w:eastAsia="Calibri" w:hAnsi="Times New Roman"/>
          <w:sz w:val="24"/>
          <w:szCs w:val="24"/>
        </w:rPr>
        <w:t xml:space="preserve">, низким коэффициентом полезного действия мощностей и большими потерями энергоносителей. В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99756E" w:rsidRPr="007B7AFE" w:rsidRDefault="0099756E" w:rsidP="007B7AF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142AB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</w:t>
      </w:r>
      <w:r w:rsidR="007B7AFE">
        <w:rPr>
          <w:rFonts w:ascii="Times New Roman" w:hAnsi="Times New Roman"/>
          <w:sz w:val="24"/>
          <w:szCs w:val="24"/>
        </w:rPr>
        <w:t xml:space="preserve">на 2020 – 2022 годы </w:t>
      </w:r>
      <w:r w:rsidRPr="00E4697A">
        <w:rPr>
          <w:rFonts w:ascii="Times New Roman" w:hAnsi="Times New Roman"/>
          <w:sz w:val="24"/>
          <w:szCs w:val="24"/>
        </w:rPr>
        <w:t xml:space="preserve">составит в сумме </w:t>
      </w:r>
      <w:r w:rsidR="007B7AFE">
        <w:rPr>
          <w:rFonts w:ascii="Times New Roman" w:hAnsi="Times New Roman"/>
          <w:sz w:val="24"/>
          <w:szCs w:val="24"/>
        </w:rPr>
        <w:t>6 764 905,44</w:t>
      </w:r>
      <w:r w:rsidR="009C02E6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E4697A" w:rsidRDefault="007A766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835"/>
        <w:gridCol w:w="1985"/>
      </w:tblGrid>
      <w:tr w:rsidR="00C03B6F" w:rsidRPr="00C03B6F" w:rsidTr="009C02E6">
        <w:trPr>
          <w:trHeight w:val="2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7B7AFE" w:rsidP="007B7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</w:t>
            </w:r>
            <w:r w:rsidR="00C03B6F" w:rsidRPr="00C03B6F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80962" w:rsidRPr="00C03B6F" w:rsidTr="00B8096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7B7A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</w:t>
            </w:r>
            <w:r w:rsidR="007B7AFE">
              <w:rPr>
                <w:rFonts w:ascii="Times New Roman" w:hAnsi="Times New Roman"/>
                <w:color w:val="000000"/>
              </w:rPr>
              <w:t>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7B7AFE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134 60</w:t>
            </w:r>
            <w:r w:rsidR="00B80962"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111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118F3">
              <w:rPr>
                <w:rFonts w:ascii="Times New Roman" w:hAnsi="Times New Roman"/>
                <w:color w:val="000000"/>
              </w:rPr>
              <w:t> 441 689,44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2 576 289,44</w:t>
            </w:r>
          </w:p>
        </w:tc>
      </w:tr>
      <w:tr w:rsidR="00B80962" w:rsidRPr="00C03B6F" w:rsidTr="007B7AFE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7B7AFE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B80962"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7B7AFE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134 60</w:t>
            </w:r>
            <w:r w:rsidR="00B80962"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2 021 608,00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B80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2 156 208,00</w:t>
            </w:r>
          </w:p>
        </w:tc>
      </w:tr>
      <w:tr w:rsidR="00B80962" w:rsidRPr="00C03B6F" w:rsidTr="007B7AFE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="007B7AFE">
              <w:rPr>
                <w:rFonts w:ascii="Times New Roman" w:hAnsi="Times New Roman"/>
                <w:color w:val="000000"/>
              </w:rPr>
              <w:t>22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2 032 408,00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B80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2 032 408,00</w:t>
            </w:r>
          </w:p>
        </w:tc>
      </w:tr>
      <w:tr w:rsidR="00B80962" w:rsidRPr="00C03B6F" w:rsidTr="007B7AFE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7B7AFE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269 20</w:t>
            </w:r>
            <w:r w:rsidR="00B8096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3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6 495 705,44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1118F3" w:rsidP="00D46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6 764 905,44</w:t>
            </w:r>
          </w:p>
        </w:tc>
      </w:tr>
    </w:tbl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68" w:rsidRPr="009C02E6" w:rsidRDefault="007E1B68" w:rsidP="009C02E6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E1B68" w:rsidRPr="009C02E6" w:rsidRDefault="007E1B68" w:rsidP="009C02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929"/>
        <w:gridCol w:w="503"/>
        <w:gridCol w:w="1670"/>
        <w:gridCol w:w="624"/>
        <w:gridCol w:w="624"/>
        <w:gridCol w:w="624"/>
        <w:gridCol w:w="624"/>
        <w:gridCol w:w="624"/>
        <w:gridCol w:w="624"/>
        <w:gridCol w:w="624"/>
        <w:gridCol w:w="590"/>
        <w:gridCol w:w="590"/>
      </w:tblGrid>
      <w:tr w:rsidR="001118F3" w:rsidRPr="009C02E6" w:rsidTr="001118F3">
        <w:trPr>
          <w:trHeight w:val="441"/>
          <w:tblHeader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1118F3" w:rsidRPr="009C02E6" w:rsidRDefault="001118F3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55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111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реализации муниципальной 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1118F3" w:rsidRPr="009C02E6" w:rsidTr="001118F3">
        <w:trPr>
          <w:trHeight w:hRule="exact" w:val="1050"/>
          <w:tblHeader/>
          <w:jc w:val="center"/>
        </w:trPr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18F3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Pr="009C02E6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18F3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118F3" w:rsidRPr="009C02E6" w:rsidTr="001118F3">
        <w:trPr>
          <w:trHeight w:hRule="exact" w:val="257"/>
          <w:tblHeader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8F3" w:rsidRPr="009C02E6" w:rsidRDefault="001118F3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8F3" w:rsidRPr="009C02E6" w:rsidTr="001118F3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118F3" w:rsidRPr="009C02E6" w:rsidTr="00C5471D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1118F3" w:rsidRPr="009C02E6" w:rsidTr="001118F3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1118F3" w:rsidRPr="009C02E6" w:rsidTr="001118F3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36,80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Pr="009C02E6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F3" w:rsidRDefault="001118F3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</w:tr>
    </w:tbl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C02E6">
        <w:rPr>
          <w:rFonts w:ascii="Times New Roman" w:hAnsi="Times New Roman"/>
          <w:sz w:val="24"/>
          <w:szCs w:val="24"/>
          <w:lang w:eastAsia="en-US"/>
        </w:rPr>
        <w:t>уровень износа коммунальной инфраструктуры составит 20%;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C02E6">
        <w:rPr>
          <w:rFonts w:ascii="Times New Roman" w:hAnsi="Times New Roman"/>
          <w:color w:val="000000"/>
          <w:sz w:val="24"/>
          <w:szCs w:val="24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Pr="009C02E6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9C02E6">
        <w:rPr>
          <w:rFonts w:ascii="Times New Roman" w:hAnsi="Times New Roman"/>
          <w:color w:val="000000"/>
          <w:sz w:val="24"/>
          <w:szCs w:val="24"/>
        </w:rPr>
        <w:t xml:space="preserve"> по содержанию которых выполняются  в объеме действующих нормативов составят 44,80%.</w:t>
      </w:r>
    </w:p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 «</w:t>
      </w:r>
      <w:r w:rsidR="00110D9D" w:rsidRPr="00E4697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E4697A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E4697A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E4697A">
        <w:rPr>
          <w:rFonts w:ascii="Times New Roman" w:hAnsi="Times New Roman"/>
          <w:sz w:val="24"/>
          <w:szCs w:val="24"/>
        </w:rPr>
        <w:t xml:space="preserve">в сумме </w:t>
      </w:r>
      <w:r w:rsidR="001118F3">
        <w:rPr>
          <w:rFonts w:ascii="Times New Roman" w:hAnsi="Times New Roman"/>
          <w:sz w:val="24"/>
          <w:szCs w:val="24"/>
        </w:rPr>
        <w:t>5 525 705,44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="00110D9D"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99756E" w:rsidRPr="00E4697A" w:rsidRDefault="009C02E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1118F3">
        <w:rPr>
          <w:rFonts w:ascii="Times New Roman" w:hAnsi="Times New Roman"/>
          <w:sz w:val="24"/>
          <w:szCs w:val="24"/>
        </w:rPr>
        <w:t xml:space="preserve">20 </w:t>
      </w:r>
      <w:r w:rsidR="0099756E" w:rsidRPr="00E4697A">
        <w:rPr>
          <w:rFonts w:ascii="Times New Roman" w:hAnsi="Times New Roman"/>
          <w:sz w:val="24"/>
          <w:szCs w:val="24"/>
        </w:rPr>
        <w:t xml:space="preserve">год в сумме </w:t>
      </w:r>
      <w:r w:rsidR="001118F3">
        <w:rPr>
          <w:rFonts w:ascii="Times New Roman" w:hAnsi="Times New Roman"/>
          <w:sz w:val="24"/>
          <w:szCs w:val="24"/>
        </w:rPr>
        <w:t>2 127 889,44</w:t>
      </w:r>
      <w:r>
        <w:rPr>
          <w:rFonts w:ascii="Times New Roman" w:hAnsi="Times New Roman"/>
          <w:sz w:val="24"/>
          <w:szCs w:val="24"/>
        </w:rPr>
        <w:t xml:space="preserve"> </w:t>
      </w:r>
      <w:r w:rsidR="0099756E"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B8096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118F3">
        <w:rPr>
          <w:rFonts w:ascii="Times New Roman" w:hAnsi="Times New Roman"/>
          <w:sz w:val="24"/>
          <w:szCs w:val="24"/>
        </w:rPr>
        <w:t>1</w:t>
      </w:r>
      <w:r w:rsidR="0099756E"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>1</w:t>
      </w:r>
      <w:r w:rsidR="001118F3">
        <w:rPr>
          <w:rFonts w:ascii="Times New Roman" w:hAnsi="Times New Roman"/>
          <w:sz w:val="24"/>
          <w:szCs w:val="24"/>
        </w:rPr>
        <w:t> 698 908</w:t>
      </w:r>
      <w:r w:rsidR="009C02E6">
        <w:rPr>
          <w:rFonts w:ascii="Times New Roman" w:hAnsi="Times New Roman"/>
          <w:sz w:val="24"/>
          <w:szCs w:val="24"/>
        </w:rPr>
        <w:t xml:space="preserve">,00 </w:t>
      </w:r>
      <w:r w:rsidR="0099756E"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9C02E6">
        <w:rPr>
          <w:rFonts w:ascii="Times New Roman" w:hAnsi="Times New Roman"/>
          <w:sz w:val="24"/>
          <w:szCs w:val="24"/>
        </w:rPr>
        <w:t>2</w:t>
      </w:r>
      <w:r w:rsidR="001118F3">
        <w:rPr>
          <w:rFonts w:ascii="Times New Roman" w:hAnsi="Times New Roman"/>
          <w:sz w:val="24"/>
          <w:szCs w:val="24"/>
        </w:rPr>
        <w:t>2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>1</w:t>
      </w:r>
      <w:r w:rsidR="001118F3">
        <w:rPr>
          <w:rFonts w:ascii="Times New Roman" w:hAnsi="Times New Roman"/>
          <w:sz w:val="24"/>
          <w:szCs w:val="24"/>
        </w:rPr>
        <w:t> 698 908</w:t>
      </w:r>
      <w:r w:rsidR="009C02E6">
        <w:rPr>
          <w:rFonts w:ascii="Times New Roman" w:hAnsi="Times New Roman"/>
          <w:sz w:val="24"/>
          <w:szCs w:val="24"/>
        </w:rPr>
        <w:t xml:space="preserve">,00 </w:t>
      </w:r>
      <w:r w:rsidRPr="00E4697A">
        <w:rPr>
          <w:rFonts w:ascii="Times New Roman" w:hAnsi="Times New Roman"/>
          <w:sz w:val="24"/>
          <w:szCs w:val="24"/>
        </w:rPr>
        <w:t>руб.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2E6" w:rsidRP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9C02E6">
        <w:rPr>
          <w:rFonts w:ascii="Times New Roman" w:hAnsi="Times New Roman"/>
          <w:b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118F3" w:rsidRPr="009C02E6" w:rsidRDefault="001118F3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57"/>
        <w:gridCol w:w="1270"/>
        <w:gridCol w:w="1484"/>
        <w:gridCol w:w="590"/>
        <w:gridCol w:w="590"/>
        <w:gridCol w:w="590"/>
        <w:gridCol w:w="590"/>
        <w:gridCol w:w="590"/>
        <w:gridCol w:w="590"/>
      </w:tblGrid>
      <w:tr w:rsidR="001118F3" w:rsidRPr="009C02E6" w:rsidTr="001118F3">
        <w:trPr>
          <w:trHeight w:val="96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7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118F3" w:rsidRPr="009C02E6" w:rsidTr="001118F3">
        <w:trPr>
          <w:trHeight w:val="53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118F3" w:rsidRPr="009C02E6" w:rsidTr="001118F3">
        <w:trPr>
          <w:trHeight w:val="227"/>
          <w:tblHeader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9C02E6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18F3" w:rsidRPr="009C02E6" w:rsidTr="001118F3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Создание условий для обеспечения качественными услугами ЖКХ населения</w:t>
            </w:r>
          </w:p>
        </w:tc>
      </w:tr>
      <w:tr w:rsidR="001118F3" w:rsidRPr="009C02E6" w:rsidTr="00647531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 на 100 км инженерных сетей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</w:tr>
      <w:tr w:rsidR="001118F3" w:rsidRPr="009C02E6" w:rsidTr="00647531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Потери энергоресурсов в инженерных сетях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</w:tr>
      <w:tr w:rsidR="001118F3" w:rsidRPr="009C02E6" w:rsidTr="00647531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</w:tr>
      <w:tr w:rsidR="001118F3" w:rsidRPr="009C02E6" w:rsidTr="00647531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9C02E6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613B" w:rsidRPr="00E4697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Pr="00E4697A">
        <w:rPr>
          <w:rFonts w:ascii="Times New Roman" w:hAnsi="Times New Roman"/>
          <w:sz w:val="24"/>
          <w:szCs w:val="24"/>
        </w:rPr>
        <w:t>«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 w:rsidR="001118F3">
        <w:rPr>
          <w:rFonts w:ascii="Times New Roman" w:hAnsi="Times New Roman"/>
          <w:sz w:val="24"/>
          <w:szCs w:val="24"/>
        </w:rPr>
        <w:t>970 000</w:t>
      </w:r>
      <w:r w:rsidR="009C02E6">
        <w:rPr>
          <w:rFonts w:ascii="Times New Roman" w:hAnsi="Times New Roman"/>
          <w:sz w:val="24"/>
          <w:szCs w:val="24"/>
        </w:rPr>
        <w:t xml:space="preserve">,00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FB6913" w:rsidRPr="00E4697A" w:rsidRDefault="00246A61" w:rsidP="007A76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694"/>
        <w:gridCol w:w="1540"/>
      </w:tblGrid>
      <w:tr w:rsidR="00C03B6F" w:rsidRPr="00C03B6F" w:rsidTr="00C03B6F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</w:t>
            </w:r>
            <w:r w:rsidR="00C03B6F" w:rsidRPr="00C03B6F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="00C03B6F" w:rsidRPr="00C03B6F">
              <w:rPr>
                <w:rFonts w:ascii="Times New Roman" w:hAnsi="Times New Roman"/>
                <w:color w:val="000000"/>
              </w:rPr>
              <w:t>дорожн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C03B6F" w:rsidRPr="00C03B6F">
              <w:rPr>
                <w:rFonts w:ascii="Times New Roman" w:hAnsi="Times New Roman"/>
                <w:color w:val="000000"/>
              </w:rPr>
              <w:t xml:space="preserve"> фонд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1118F3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111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313 800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313 800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313 800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18F3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18F3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118F3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3" w:rsidRPr="00C03B6F" w:rsidRDefault="001118F3" w:rsidP="00DF0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970 000,00</w:t>
            </w:r>
          </w:p>
        </w:tc>
      </w:tr>
    </w:tbl>
    <w:p w:rsidR="009C02E6" w:rsidRDefault="009C02E6" w:rsidP="00060ED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7EF2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Цель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Общая протяженность улично-дорожной сети Родниковского сельсовета состав</w:t>
      </w:r>
      <w:r w:rsidR="001118F3">
        <w:rPr>
          <w:rFonts w:ascii="Times New Roman" w:eastAsiaTheme="minorHAnsi" w:hAnsi="Times New Roman"/>
          <w:sz w:val="24"/>
          <w:szCs w:val="24"/>
          <w:lang w:eastAsia="en-US"/>
        </w:rPr>
        <w:t>ляет</w:t>
      </w: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 xml:space="preserve"> 24,00 километр</w:t>
      </w:r>
      <w:r w:rsidR="001118F3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13,89 км (57,9 %) – с усовершенствованным типом покрытия (асфальт /бетон);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10,11 км (42,1%) – не имеют покрытия, т.е. грунтовые.</w:t>
      </w:r>
    </w:p>
    <w:p w:rsidR="00720105" w:rsidRPr="00F8452D" w:rsidRDefault="00720105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3251BD" w:rsidRPr="00F8452D">
        <w:rPr>
          <w:rFonts w:ascii="Times New Roman" w:hAnsi="Times New Roman"/>
          <w:sz w:val="24"/>
          <w:szCs w:val="24"/>
        </w:rPr>
        <w:t xml:space="preserve"> </w:t>
      </w:r>
      <w:r w:rsidRPr="00F8452D">
        <w:rPr>
          <w:rFonts w:ascii="Times New Roman" w:hAnsi="Times New Roman"/>
          <w:sz w:val="24"/>
          <w:szCs w:val="24"/>
        </w:rPr>
        <w:t xml:space="preserve">и, особенно в перевозках на короткие расстояния.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>- об утверждении порядков установления и использования полос отвода и придорожных полос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 порядке осуществления муниципального </w:t>
      </w:r>
      <w:proofErr w:type="gramStart"/>
      <w:r w:rsidRPr="00E469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E4697A">
        <w:rPr>
          <w:rFonts w:ascii="Times New Roman" w:hAnsi="Times New Roman"/>
          <w:sz w:val="24"/>
          <w:szCs w:val="24"/>
        </w:rPr>
        <w:t>ремонта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 </w:t>
      </w:r>
      <w:r w:rsidRPr="00E4697A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bCs/>
          <w:sz w:val="24"/>
          <w:szCs w:val="24"/>
        </w:rPr>
        <w:t>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E4697A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E4697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 xml:space="preserve">- </w:t>
      </w:r>
      <w:r w:rsidRPr="00E4697A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Родниковского сельсовета;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половодья.</w:t>
      </w:r>
    </w:p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98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833"/>
        <w:gridCol w:w="503"/>
        <w:gridCol w:w="1484"/>
        <w:gridCol w:w="590"/>
        <w:gridCol w:w="590"/>
        <w:gridCol w:w="590"/>
        <w:gridCol w:w="590"/>
        <w:gridCol w:w="630"/>
        <w:gridCol w:w="590"/>
      </w:tblGrid>
      <w:tr w:rsidR="001118F3" w:rsidRPr="00F8452D" w:rsidTr="001118F3">
        <w:trPr>
          <w:trHeight w:val="615"/>
          <w:tblHeader/>
          <w:jc w:val="center"/>
        </w:trPr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7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118F3" w:rsidRPr="00F8452D" w:rsidTr="001118F3">
        <w:trPr>
          <w:trHeight w:val="454"/>
          <w:tblHeader/>
          <w:jc w:val="center"/>
        </w:trPr>
        <w:tc>
          <w:tcPr>
            <w:tcW w:w="3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BD1DF9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118F3" w:rsidRPr="00F8452D" w:rsidTr="001118F3">
        <w:trPr>
          <w:trHeight w:val="227"/>
          <w:tblHeader/>
          <w:jc w:val="center"/>
        </w:trPr>
        <w:tc>
          <w:tcPr>
            <w:tcW w:w="3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Pr="00F8452D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F3" w:rsidRDefault="001118F3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18F3" w:rsidRPr="00F8452D" w:rsidTr="001118F3">
        <w:trPr>
          <w:cantSplit/>
          <w:jc w:val="center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1118F3" w:rsidRPr="00F8452D" w:rsidTr="001118F3">
        <w:trPr>
          <w:cantSplit/>
          <w:jc w:val="center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</w:tr>
      <w:tr w:rsidR="001118F3" w:rsidRPr="00F8452D" w:rsidTr="001118F3">
        <w:trPr>
          <w:cantSplit/>
          <w:jc w:val="center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в отношении которых производится ремонт в общей протяженности дорог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F3" w:rsidRPr="00F8452D" w:rsidRDefault="001118F3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</w:tr>
    </w:tbl>
    <w:p w:rsidR="00F8452D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C536F0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1118F3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увеличить долю протяженности улично-дорожной сети, отвечающую нормативным требованиям в общей протяженности автомобильных дорог общего пользования до </w:t>
      </w:r>
      <w:r w:rsidR="00C536F0">
        <w:rPr>
          <w:rFonts w:ascii="Times New Roman" w:eastAsiaTheme="minorHAnsi" w:hAnsi="Times New Roman"/>
          <w:sz w:val="24"/>
          <w:szCs w:val="24"/>
          <w:lang w:eastAsia="en-US"/>
        </w:rPr>
        <w:t>17,40</w:t>
      </w: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 xml:space="preserve">%, обеспечить круглогодичное содержание 24,0 км дорог улично-дорожной сети и обеспечить ремонт улично-дорожной сети. </w:t>
      </w:r>
    </w:p>
    <w:p w:rsidR="00F8452D" w:rsidRPr="00F8452D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Результаты реализации мероприятий подпрограммы будут способствовать бесперебойному и безопасному движению транспортных средств по  улично-дорожной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F8452D" w:rsidRPr="00F8452D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конституционные права граждан на передвижение и возможности получения ими жизненно важных услуг;</w:t>
      </w:r>
    </w:p>
    <w:p w:rsidR="00F8452D" w:rsidRPr="00F8452D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F8452D" w:rsidRPr="00F8452D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Положительный экономический эффект от реализации подпрограммы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F8452D" w:rsidRPr="00E4697A" w:rsidRDefault="00F8452D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E4697A" w:rsidRDefault="00224944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E4697A">
        <w:rPr>
          <w:rFonts w:ascii="Times New Roman" w:hAnsi="Times New Roman"/>
          <w:sz w:val="24"/>
          <w:szCs w:val="24"/>
        </w:rPr>
        <w:t xml:space="preserve">  планируемое финансирование </w:t>
      </w:r>
      <w:r w:rsidRPr="00E4697A">
        <w:rPr>
          <w:rFonts w:ascii="Times New Roman" w:hAnsi="Times New Roman"/>
          <w:sz w:val="24"/>
          <w:szCs w:val="24"/>
        </w:rPr>
        <w:lastRenderedPageBreak/>
        <w:t>подпрограммных мероприятий составляет</w:t>
      </w:r>
      <w:r w:rsidR="00246A61" w:rsidRPr="00E4697A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E4697A">
        <w:rPr>
          <w:rFonts w:ascii="Times New Roman" w:hAnsi="Times New Roman"/>
          <w:sz w:val="24"/>
          <w:szCs w:val="24"/>
        </w:rPr>
        <w:t xml:space="preserve"> в сумме  </w:t>
      </w:r>
      <w:r w:rsidR="00C536F0">
        <w:rPr>
          <w:rFonts w:ascii="Times New Roman" w:hAnsi="Times New Roman"/>
          <w:sz w:val="24"/>
          <w:szCs w:val="24"/>
        </w:rPr>
        <w:t>269 200,00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E4697A" w:rsidRDefault="00E52A34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C536F0">
        <w:rPr>
          <w:rFonts w:ascii="Times New Roman" w:hAnsi="Times New Roman"/>
          <w:sz w:val="24"/>
          <w:szCs w:val="24"/>
        </w:rPr>
        <w:t>20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C536F0">
        <w:rPr>
          <w:rFonts w:ascii="Times New Roman" w:hAnsi="Times New Roman"/>
          <w:sz w:val="24"/>
          <w:szCs w:val="24"/>
        </w:rPr>
        <w:t>134</w:t>
      </w:r>
      <w:r w:rsidR="00BD1DF9">
        <w:rPr>
          <w:rFonts w:ascii="Times New Roman" w:hAnsi="Times New Roman"/>
          <w:sz w:val="24"/>
          <w:szCs w:val="24"/>
        </w:rPr>
        <w:t xml:space="preserve"> 60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C536F0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E52A34" w:rsidRPr="00E4697A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134</w:t>
      </w:r>
      <w:r w:rsidR="00BD1DF9">
        <w:rPr>
          <w:rFonts w:ascii="Times New Roman" w:hAnsi="Times New Roman"/>
          <w:sz w:val="24"/>
          <w:szCs w:val="24"/>
        </w:rPr>
        <w:t xml:space="preserve"> 60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="00E52A34"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E52A34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C536F0">
        <w:rPr>
          <w:rFonts w:ascii="Times New Roman" w:hAnsi="Times New Roman"/>
          <w:sz w:val="24"/>
          <w:szCs w:val="24"/>
        </w:rPr>
        <w:t>22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C536F0">
        <w:rPr>
          <w:rFonts w:ascii="Times New Roman" w:hAnsi="Times New Roman"/>
          <w:sz w:val="24"/>
          <w:szCs w:val="24"/>
        </w:rPr>
        <w:t>0</w:t>
      </w:r>
      <w:r w:rsidR="00F8452D">
        <w:rPr>
          <w:rFonts w:ascii="Times New Roman" w:hAnsi="Times New Roman"/>
          <w:sz w:val="24"/>
          <w:szCs w:val="24"/>
        </w:rPr>
        <w:t xml:space="preserve">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885856" w:rsidRPr="00E4697A" w:rsidRDefault="00885856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E4697A" w:rsidRDefault="00885856" w:rsidP="00C536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4697A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FB6913" w:rsidRPr="00E4697A" w:rsidRDefault="00FB6913" w:rsidP="00C536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 (далее - ТБО). Количество отходов (1 - 5 классов опасности), образующихся на территории поселения, составляет около 0,28 тыс</w:t>
      </w: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год, из них 0,1 тыс. 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FB6913" w:rsidRPr="00E4697A" w:rsidRDefault="00FB6913" w:rsidP="00C536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FB6913" w:rsidRPr="00E4697A" w:rsidRDefault="00FB6913" w:rsidP="00C536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B6913" w:rsidRPr="00E4697A" w:rsidRDefault="00FB6913" w:rsidP="00C536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Положение усугубляется тем, что из-за отсутствия раздельного сбора ТБО и его фактического сбора в общие контейнеры,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иные отходы. Все это загрязняет территорию населенных пунктов, а потом под видом малоопасных отходов транспортируется на полигон ТБО либо на несанкционированные места размещения отходов, что недопустимо в соответствии с санитарно-эпидемиологическими требованиями.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612"/>
        <w:gridCol w:w="686"/>
        <w:gridCol w:w="1484"/>
        <w:gridCol w:w="610"/>
        <w:gridCol w:w="610"/>
        <w:gridCol w:w="610"/>
        <w:gridCol w:w="610"/>
        <w:gridCol w:w="610"/>
        <w:gridCol w:w="610"/>
      </w:tblGrid>
      <w:tr w:rsidR="00C536F0" w:rsidRPr="00F8452D" w:rsidTr="00C536F0">
        <w:trPr>
          <w:trHeight w:val="53"/>
          <w:tblHeader/>
          <w:jc w:val="center"/>
        </w:trPr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7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C536F0" w:rsidRPr="00F8452D" w:rsidTr="00C536F0">
        <w:trPr>
          <w:trHeight w:val="53"/>
          <w:tblHeader/>
          <w:jc w:val="center"/>
        </w:trPr>
        <w:tc>
          <w:tcPr>
            <w:tcW w:w="3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C536F0" w:rsidRPr="00F8452D" w:rsidTr="00C536F0">
        <w:trPr>
          <w:trHeight w:val="227"/>
          <w:tblHeader/>
          <w:jc w:val="center"/>
        </w:trPr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Pr="00F8452D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Default="00C536F0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536F0" w:rsidRPr="00F8452D" w:rsidTr="00C536F0">
        <w:trPr>
          <w:cantSplit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</w:tr>
      <w:tr w:rsidR="00C536F0" w:rsidRPr="00F8452D" w:rsidTr="00C536F0">
        <w:trPr>
          <w:cantSplit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F0" w:rsidRPr="00F8452D" w:rsidRDefault="00C536F0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F0" w:rsidRPr="00F8452D" w:rsidRDefault="00C536F0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F0" w:rsidRPr="00F8452D" w:rsidRDefault="00C536F0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Pr="00F8452D" w:rsidRDefault="00C536F0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Pr="00F8452D" w:rsidRDefault="00C536F0" w:rsidP="00371B52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F0" w:rsidRPr="00F8452D" w:rsidRDefault="00C536F0" w:rsidP="00DF0BE3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</w:tr>
      <w:tr w:rsidR="00C536F0" w:rsidRPr="00F8452D" w:rsidTr="00C536F0">
        <w:trPr>
          <w:cantSplit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F0" w:rsidRPr="00F8452D" w:rsidRDefault="00C536F0" w:rsidP="00DF0B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</w:tbl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>В результате реализации мероприятий подпрограммы к 202</w:t>
      </w:r>
      <w:r w:rsidR="00C536F0">
        <w:rPr>
          <w:rFonts w:ascii="Times New Roman" w:eastAsiaTheme="minorHAnsi" w:hAnsi="Times New Roman"/>
          <w:sz w:val="24"/>
          <w:szCs w:val="24"/>
        </w:rPr>
        <w:t>2</w:t>
      </w:r>
      <w:r w:rsidRPr="00F8452D">
        <w:rPr>
          <w:rFonts w:ascii="Times New Roman" w:eastAsiaTheme="minorHAnsi" w:hAnsi="Times New Roman"/>
          <w:sz w:val="24"/>
          <w:szCs w:val="24"/>
        </w:rPr>
        <w:t xml:space="preserve"> году будет получен экологический и социально-экономический эффект.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lastRenderedPageBreak/>
        <w:t xml:space="preserve"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</w:t>
      </w:r>
      <w:r>
        <w:rPr>
          <w:rFonts w:ascii="Times New Roman" w:eastAsiaTheme="minorHAnsi" w:hAnsi="Times New Roman"/>
          <w:sz w:val="24"/>
          <w:szCs w:val="24"/>
        </w:rPr>
        <w:t>чем на 30 тонн в год.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>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снижени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8452D">
        <w:rPr>
          <w:rFonts w:ascii="Times New Roman" w:eastAsiaTheme="minorHAnsi" w:hAnsi="Times New Roman"/>
          <w:sz w:val="24"/>
          <w:szCs w:val="24"/>
        </w:rPr>
        <w:t>количества судебных решений и предписаний надзорных органов по свалкам и загрязнению территорий бытовыми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повышени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улучшении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Pr="00F8452D">
        <w:rPr>
          <w:rFonts w:ascii="Times New Roman" w:eastAsia="Calibri" w:hAnsi="Times New Roman"/>
          <w:sz w:val="24"/>
          <w:szCs w:val="24"/>
          <w:lang w:eastAsia="en-US"/>
        </w:rPr>
        <w:t>1123</w:t>
      </w:r>
      <w:r w:rsidRPr="00F8452D">
        <w:rPr>
          <w:rFonts w:ascii="Times New Roman" w:eastAsiaTheme="minorHAnsi" w:hAnsi="Times New Roman"/>
          <w:sz w:val="24"/>
          <w:szCs w:val="24"/>
        </w:rPr>
        <w:t xml:space="preserve"> человек на территории поселения получить современную услугу в области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росте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F8452D" w:rsidRDefault="00F8452D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FFE" w:rsidRPr="00EC0022" w:rsidRDefault="00D82FFE" w:rsidP="00D82FFE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п. 3.4. 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муниципальная программа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D82FFE" w:rsidRPr="00F8452D" w:rsidRDefault="00D82FFE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FFE" w:rsidRDefault="00D82FFE" w:rsidP="00D82F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D82FFE" w:rsidRPr="00D82FFE" w:rsidRDefault="00D82FFE" w:rsidP="00D82F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, их формирования и реализации»</w:t>
      </w:r>
      <w:r w:rsidRPr="00AD14B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32201B" w:rsidRPr="00D82FFE" w:rsidRDefault="00D82FFE" w:rsidP="00D82F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5628EA" w:rsidRPr="00D82FFE">
        <w:rPr>
          <w:rFonts w:ascii="Times New Roman" w:hAnsi="Times New Roman"/>
          <w:sz w:val="24"/>
          <w:szCs w:val="24"/>
        </w:rPr>
        <w:t xml:space="preserve">дминистрации </w:t>
      </w:r>
      <w:r w:rsidR="00BB7683" w:rsidRPr="00D82FFE">
        <w:rPr>
          <w:rFonts w:ascii="Times New Roman" w:hAnsi="Times New Roman"/>
          <w:sz w:val="24"/>
          <w:szCs w:val="24"/>
        </w:rPr>
        <w:t>Родниковского</w:t>
      </w:r>
      <w:r w:rsidR="00F5388D" w:rsidRPr="00D82FFE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D82FFE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2FFE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2FFE">
        <w:rPr>
          <w:rFonts w:ascii="Times New Roman" w:hAnsi="Times New Roman"/>
          <w:sz w:val="24"/>
          <w:szCs w:val="24"/>
        </w:rPr>
        <w:t xml:space="preserve"> </w:t>
      </w:r>
      <w:r w:rsidR="00BB7683" w:rsidRPr="00D82FFE">
        <w:rPr>
          <w:rFonts w:ascii="Times New Roman" w:hAnsi="Times New Roman"/>
          <w:sz w:val="24"/>
          <w:szCs w:val="24"/>
        </w:rPr>
        <w:t>Родниковского</w:t>
      </w:r>
      <w:r w:rsidR="00010C33" w:rsidRPr="00D82FFE">
        <w:rPr>
          <w:rFonts w:ascii="Times New Roman" w:hAnsi="Times New Roman"/>
          <w:sz w:val="24"/>
          <w:szCs w:val="24"/>
        </w:rPr>
        <w:t xml:space="preserve"> </w:t>
      </w:r>
      <w:r w:rsidR="00F5388D" w:rsidRPr="00D82FFE">
        <w:rPr>
          <w:rFonts w:ascii="Times New Roman" w:hAnsi="Times New Roman"/>
          <w:sz w:val="24"/>
          <w:szCs w:val="24"/>
        </w:rPr>
        <w:t>сельсовета</w:t>
      </w:r>
      <w:r w:rsidR="00060ED0" w:rsidRPr="00D82FFE">
        <w:rPr>
          <w:rFonts w:ascii="Times New Roman" w:hAnsi="Times New Roman"/>
          <w:sz w:val="24"/>
          <w:szCs w:val="24"/>
        </w:rPr>
        <w:t xml:space="preserve"> </w:t>
      </w:r>
      <w:r w:rsidR="00FA21D9" w:rsidRPr="00D82FFE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BB7683" w:rsidRPr="00D82FFE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D82FFE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B7683" w:rsidRPr="00D82FFE">
        <w:rPr>
          <w:rFonts w:ascii="Times New Roman" w:hAnsi="Times New Roman"/>
          <w:sz w:val="24"/>
          <w:szCs w:val="24"/>
        </w:rPr>
        <w:t>199-п</w:t>
      </w:r>
      <w:r w:rsidR="0032201B" w:rsidRPr="00D82FFE">
        <w:rPr>
          <w:rFonts w:ascii="Times New Roman" w:hAnsi="Times New Roman"/>
          <w:sz w:val="24"/>
          <w:szCs w:val="24"/>
        </w:rPr>
        <w:t xml:space="preserve"> </w:t>
      </w:r>
      <w:r w:rsidR="00FA21D9" w:rsidRPr="00D82FF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D82FFE">
        <w:rPr>
          <w:rFonts w:ascii="Times New Roman" w:hAnsi="Times New Roman"/>
          <w:sz w:val="24"/>
          <w:szCs w:val="24"/>
        </w:rPr>
        <w:t>Родниковского</w:t>
      </w:r>
      <w:r w:rsidR="00FA21D9" w:rsidRPr="00D82FFE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2FFE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2FFE">
        <w:rPr>
          <w:rFonts w:ascii="Times New Roman" w:hAnsi="Times New Roman"/>
          <w:sz w:val="24"/>
          <w:szCs w:val="24"/>
        </w:rPr>
        <w:t>».</w:t>
      </w: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</w:rPr>
        <w:t>П</w:t>
      </w:r>
      <w:r w:rsidR="00B235F1" w:rsidRPr="00E4697A">
        <w:rPr>
          <w:rFonts w:ascii="Times New Roman" w:hAnsi="Times New Roman"/>
          <w:sz w:val="24"/>
          <w:szCs w:val="24"/>
        </w:rPr>
        <w:t>р</w:t>
      </w:r>
      <w:r w:rsidR="00060ED0" w:rsidRPr="00E4697A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E4697A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E4697A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E4697A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E4697A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E4697A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E4697A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E4697A" w:rsidSect="007E1B68">
      <w:footerReference w:type="default" r:id="rId10"/>
      <w:pgSz w:w="11906" w:h="16838"/>
      <w:pgMar w:top="568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4" w:rsidRDefault="003D7D14" w:rsidP="007E1B68">
      <w:pPr>
        <w:spacing w:after="0" w:line="240" w:lineRule="auto"/>
      </w:pPr>
      <w:r>
        <w:separator/>
      </w:r>
    </w:p>
  </w:endnote>
  <w:endnote w:type="continuationSeparator" w:id="0">
    <w:p w:rsidR="003D7D14" w:rsidRDefault="003D7D14" w:rsidP="007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52951"/>
      <w:docPartObj>
        <w:docPartGallery w:val="Page Numbers (Bottom of Page)"/>
        <w:docPartUnique/>
      </w:docPartObj>
    </w:sdtPr>
    <w:sdtEndPr/>
    <w:sdtContent>
      <w:p w:rsidR="007E1B68" w:rsidRDefault="007E1B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FE">
          <w:rPr>
            <w:noProof/>
          </w:rPr>
          <w:t>7</w:t>
        </w:r>
        <w:r>
          <w:fldChar w:fldCharType="end"/>
        </w:r>
      </w:p>
    </w:sdtContent>
  </w:sdt>
  <w:p w:rsidR="007E1B68" w:rsidRDefault="007E1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4" w:rsidRDefault="003D7D14" w:rsidP="007E1B68">
      <w:pPr>
        <w:spacing w:after="0" w:line="240" w:lineRule="auto"/>
      </w:pPr>
      <w:r>
        <w:separator/>
      </w:r>
    </w:p>
  </w:footnote>
  <w:footnote w:type="continuationSeparator" w:id="0">
    <w:p w:rsidR="003D7D14" w:rsidRDefault="003D7D14" w:rsidP="007E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318BA"/>
    <w:multiLevelType w:val="hybridMultilevel"/>
    <w:tmpl w:val="260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118F3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229A6"/>
    <w:rsid w:val="003251BD"/>
    <w:rsid w:val="00354E6F"/>
    <w:rsid w:val="00357CEF"/>
    <w:rsid w:val="0038643C"/>
    <w:rsid w:val="003D53CE"/>
    <w:rsid w:val="003D7D14"/>
    <w:rsid w:val="003E38DD"/>
    <w:rsid w:val="00421619"/>
    <w:rsid w:val="00484051"/>
    <w:rsid w:val="0049204D"/>
    <w:rsid w:val="004A3800"/>
    <w:rsid w:val="004F5692"/>
    <w:rsid w:val="00536D13"/>
    <w:rsid w:val="005628EA"/>
    <w:rsid w:val="00594917"/>
    <w:rsid w:val="005E5FCC"/>
    <w:rsid w:val="00602E58"/>
    <w:rsid w:val="0063070B"/>
    <w:rsid w:val="00652D40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36AC0"/>
    <w:rsid w:val="007455C3"/>
    <w:rsid w:val="00770199"/>
    <w:rsid w:val="00774035"/>
    <w:rsid w:val="007A7666"/>
    <w:rsid w:val="007B4EFE"/>
    <w:rsid w:val="007B7AFE"/>
    <w:rsid w:val="007E1B68"/>
    <w:rsid w:val="00801077"/>
    <w:rsid w:val="00815024"/>
    <w:rsid w:val="008263BB"/>
    <w:rsid w:val="00885856"/>
    <w:rsid w:val="008D4F5C"/>
    <w:rsid w:val="008E0826"/>
    <w:rsid w:val="00916D75"/>
    <w:rsid w:val="00991C0F"/>
    <w:rsid w:val="0099756E"/>
    <w:rsid w:val="009C02E6"/>
    <w:rsid w:val="009F13A8"/>
    <w:rsid w:val="00A05F4B"/>
    <w:rsid w:val="00A340A4"/>
    <w:rsid w:val="00A83BB9"/>
    <w:rsid w:val="00AB085F"/>
    <w:rsid w:val="00B235F1"/>
    <w:rsid w:val="00B34E63"/>
    <w:rsid w:val="00B4538D"/>
    <w:rsid w:val="00B45D21"/>
    <w:rsid w:val="00B579B9"/>
    <w:rsid w:val="00B60A78"/>
    <w:rsid w:val="00B80962"/>
    <w:rsid w:val="00BB3F4F"/>
    <w:rsid w:val="00BB7683"/>
    <w:rsid w:val="00BC2A0D"/>
    <w:rsid w:val="00BD1DF9"/>
    <w:rsid w:val="00C03B6F"/>
    <w:rsid w:val="00C074ED"/>
    <w:rsid w:val="00C37EF2"/>
    <w:rsid w:val="00C536F0"/>
    <w:rsid w:val="00C55F6D"/>
    <w:rsid w:val="00C657AA"/>
    <w:rsid w:val="00CA40D4"/>
    <w:rsid w:val="00CB5AFC"/>
    <w:rsid w:val="00CF4051"/>
    <w:rsid w:val="00D6603C"/>
    <w:rsid w:val="00D82FFE"/>
    <w:rsid w:val="00D97443"/>
    <w:rsid w:val="00D975E5"/>
    <w:rsid w:val="00E07D80"/>
    <w:rsid w:val="00E1437E"/>
    <w:rsid w:val="00E4697A"/>
    <w:rsid w:val="00E52A34"/>
    <w:rsid w:val="00E651A4"/>
    <w:rsid w:val="00E714A8"/>
    <w:rsid w:val="00E805F4"/>
    <w:rsid w:val="00E94D49"/>
    <w:rsid w:val="00EA64ED"/>
    <w:rsid w:val="00F366A1"/>
    <w:rsid w:val="00F5388D"/>
    <w:rsid w:val="00F66A3D"/>
    <w:rsid w:val="00F67CD0"/>
    <w:rsid w:val="00F707B6"/>
    <w:rsid w:val="00F8452D"/>
    <w:rsid w:val="00F95BBE"/>
    <w:rsid w:val="00F97118"/>
    <w:rsid w:val="00FA21D9"/>
    <w:rsid w:val="00FA6F32"/>
    <w:rsid w:val="00FB6913"/>
    <w:rsid w:val="00FC5182"/>
    <w:rsid w:val="00FD3A86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496-1092-47C9-B16E-99EF4374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2014-07-22T02:26:00Z</cp:lastPrinted>
  <dcterms:created xsi:type="dcterms:W3CDTF">2014-07-21T06:27:00Z</dcterms:created>
  <dcterms:modified xsi:type="dcterms:W3CDTF">2019-11-27T02:13:00Z</dcterms:modified>
</cp:coreProperties>
</file>